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16AAAA">
      <w:pPr>
        <w:pStyle w:val="2"/>
      </w:pPr>
      <w:bookmarkStart w:id="0" w:name="_Toc99378838"/>
      <w:r>
        <w:t>VỤ ÁN HÌNH SỰ</w:t>
      </w:r>
      <w:bookmarkEnd w:id="0"/>
      <w:r>
        <w:t xml:space="preserve"> </w:t>
      </w:r>
    </w:p>
    <w:p w14:paraId="79C51B65">
      <w:pPr>
        <w:spacing w:before="120" w:after="120" w:line="400" w:lineRule="exact"/>
        <w:ind w:firstLine="709"/>
        <w:jc w:val="both"/>
        <w:rPr>
          <w:rFonts w:eastAsia="Calibri" w:cs="Times New Roman"/>
          <w:iCs/>
        </w:rPr>
      </w:pPr>
      <w:r>
        <w:rPr>
          <w:rFonts w:eastAsia="Times New Roman" w:cs="Times New Roman"/>
          <w:iCs/>
          <w:color w:val="000000"/>
          <w:sz w:val="24"/>
          <w:szCs w:val="24"/>
        </w:rPr>
        <w:t>(</w:t>
      </w:r>
      <w:r>
        <w:rPr>
          <w:rFonts w:eastAsia="Times New Roman" w:cs="Times New Roman"/>
          <w:iCs/>
          <w:color w:val="000000"/>
          <w:szCs w:val="28"/>
        </w:rPr>
        <w:t xml:space="preserve">cg. Án hình sự) vụ, việc đã xảy </w:t>
      </w:r>
      <w:r>
        <w:rPr>
          <w:rFonts w:eastAsia="Calibri" w:cs="Times New Roman"/>
          <w:iCs/>
        </w:rPr>
        <w:t xml:space="preserve">ra có dấu hiệu tội phạm được quy định trong Bộ luật hình sự và các cơ quan tiến hành tố tụng </w:t>
      </w:r>
      <w:r>
        <w:rPr>
          <w:rFonts w:eastAsia="Calibri" w:cs="Times New Roman"/>
          <w:i/>
          <w:iCs/>
        </w:rPr>
        <w:t>quyết định khởi tố về</w:t>
      </w:r>
      <w:r>
        <w:rPr>
          <w:rFonts w:eastAsia="Calibri" w:cs="Times New Roman"/>
          <w:i/>
          <w:iCs/>
          <w:lang w:val="vi-VN"/>
        </w:rPr>
        <w:t xml:space="preserve"> hình sự</w:t>
      </w:r>
      <w:r>
        <w:rPr>
          <w:rFonts w:eastAsia="Calibri" w:cs="Times New Roman"/>
          <w:i/>
          <w:iCs/>
        </w:rPr>
        <w:t xml:space="preserve"> để điều tra,</w:t>
      </w:r>
      <w:r>
        <w:rPr>
          <w:rFonts w:eastAsia="Calibri" w:cs="Times New Roman"/>
          <w:iCs/>
        </w:rPr>
        <w:t xml:space="preserve"> giải quyết </w:t>
      </w:r>
      <w:r>
        <w:rPr>
          <w:rFonts w:eastAsia="Calibri" w:cs="Times New Roman"/>
          <w:i/>
          <w:iCs/>
        </w:rPr>
        <w:t>vụ án</w:t>
      </w:r>
      <w:r>
        <w:rPr>
          <w:rFonts w:eastAsia="Calibri" w:cs="Times New Roman"/>
          <w:iCs/>
        </w:rPr>
        <w:t xml:space="preserve"> theo trình tự, thủ tục do Bộ luật Tố tụng hình sự quy định. VAHS phát sinh khi có quyết định khởi tố và kết thúc khi bị đình chỉ hoặc bản án hình sự của Toà án có hiệu lực pháp luật.</w:t>
      </w:r>
    </w:p>
    <w:p w14:paraId="19B8FC76">
      <w:pPr>
        <w:spacing w:before="120" w:after="120" w:line="400" w:lineRule="exact"/>
        <w:ind w:firstLine="709"/>
        <w:jc w:val="both"/>
        <w:rPr>
          <w:rFonts w:eastAsia="Calibri" w:cs="Times New Roman"/>
          <w:iCs/>
        </w:rPr>
      </w:pPr>
      <w:r>
        <w:rPr>
          <w:rFonts w:eastAsia="Calibri" w:cs="Times New Roman"/>
          <w:iCs/>
        </w:rPr>
        <w:t xml:space="preserve">Vụ, việc đã xảy ra có dấu hiệu tội phạm là vụ, việc đã xảy ra trên thực tế và qua kiểm tra, xác minh các cơ quan có thẩm quyền xác định có </w:t>
      </w:r>
      <w:r>
        <w:rPr>
          <w:rFonts w:eastAsia="Calibri" w:cs="Times New Roman"/>
        </w:rPr>
        <w:t>04 dấu hiệu sau: 1. Hành vi do cá nhân hoặc pháp nhân thương mại thực hiện gây nguy hiểm cho xã hội. 2. Hành vi được quy định trong Bộ luật hình sự. 3. Hành vi do người có năng lực trách nhiệm hình sự hoặc pháp nhân thương mại thực hiện một cách cố ý hoặc vô ý. 4. Hành vi này phải bị xử lý hình sự.</w:t>
      </w:r>
      <w:r>
        <w:rPr>
          <w:rFonts w:eastAsia="Calibri" w:cs="Times New Roman"/>
          <w:iCs/>
        </w:rPr>
        <w:t xml:space="preserve"> </w:t>
      </w:r>
    </w:p>
    <w:p w14:paraId="68B9FDA0">
      <w:pPr>
        <w:spacing w:before="120" w:after="120" w:line="400" w:lineRule="exact"/>
        <w:ind w:firstLine="709"/>
        <w:jc w:val="both"/>
        <w:rPr>
          <w:rFonts w:eastAsia="Calibri" w:cs="Times New Roman"/>
          <w:iCs/>
          <w:color w:val="FF0000"/>
        </w:rPr>
      </w:pPr>
      <w:r>
        <w:rPr>
          <w:rFonts w:eastAsia="Calibri" w:cs="Times New Roman"/>
          <w:iCs/>
          <w:color w:val="FF0000"/>
        </w:rPr>
        <w:t>Việc xem xét, giải quyết vụ án hình sự là một quá trình có sự tham gia của nhiều chủ thể, qua các giai đoạn.</w:t>
      </w:r>
    </w:p>
    <w:p w14:paraId="4243DD42">
      <w:pPr>
        <w:spacing w:before="120" w:after="120" w:line="400" w:lineRule="exact"/>
        <w:ind w:firstLine="709"/>
        <w:jc w:val="both"/>
        <w:rPr>
          <w:rFonts w:eastAsia="Calibri" w:cs="Times New Roman"/>
          <w:iCs/>
        </w:rPr>
      </w:pPr>
      <w:r>
        <w:rPr>
          <w:rFonts w:eastAsia="Calibri" w:cs="Times New Roman"/>
          <w:iCs/>
          <w:color w:val="FF0000"/>
        </w:rPr>
        <w:t>- Khởi tố vụ án hình sự. Khởi tố vụ án hình sự là giai đoạn đầu của quá trình tố tụng hình sự. Các cơ quan có thẩm quyền tố tụng tiến hành tiếp nhận, giải quyết thông tin về tội phạm,</w:t>
      </w:r>
      <w:r>
        <w:rPr>
          <w:rFonts w:eastAsia="Calibri" w:cs="Times New Roman"/>
          <w:iCs/>
        </w:rPr>
        <w:t xml:space="preserve"> việc có dấu hiệu tội phạm phải dựa trên các căn cứ: Tố giác của cá nhân; tin báo của cơ quan, tổ chức, cá nhân; tin báo trên phương tiện thông tin đại chúng; kiến nghị khởi tố của cơ quan nhà nước; cơ quan có thẩm quyền tiến hành tố tụng trực tiếp phát hiện dấu hiệu tội phạm; người phạm tội tự thú. Khi xác định có VAHS đã xảy ra trên thực tế, cơ quan điều tra, cơ quan được giao nhiệm vụ tiến hành một số hoạt động điều tra, Viện kiểm sát, Hội đồng xét xử theo thẩm quyền của mình ra quyết định khởi tố VAHS (đưa vụ án vào giai đoạn điều tra, giải quyết theo trình tự, thủ tục tố tụng hình sự). Khởi tố VAHS là giai đoạn đầu tiên của tố tụng hình sự, do cơ quan tiến hành tố tụng xác định dấu hiệu tội phạm và ra quyết định khởi tố VAHS. </w:t>
      </w:r>
    </w:p>
    <w:p w14:paraId="408C09AA">
      <w:pPr>
        <w:spacing w:before="120" w:after="120" w:line="400" w:lineRule="exact"/>
        <w:ind w:firstLine="709"/>
        <w:jc w:val="both"/>
        <w:rPr>
          <w:rFonts w:eastAsia="Calibri" w:cs="Times New Roman"/>
          <w:iCs/>
        </w:rPr>
      </w:pPr>
      <w:r>
        <w:rPr>
          <w:rFonts w:eastAsia="Calibri" w:cs="Times New Roman"/>
          <w:iCs/>
        </w:rPr>
        <w:t>- Điều tra VAHS là giai đoạn cơ quan điều tra, cơ quan được giao nhiệm vụ tiến hành một số hoạt động điều tra tiến hành các biện pháp do Bộ luật Tố tụng hình sự quy định để chứng minh, làm rõ những vấn đề: có hành vi phạm tội xảy ra hay không, thời gian, địa điểm và những tình tiết khác của hành vi phạm tội; người thực hiện hành vi phạm tội, có lỗi hay không có lỗi, do cố ý hay vô ý, có năng lực trách nhiệm hình sự hay không và mục đích, động cơ phạm tội; những tình tiết giảm nhẹ, tăng nặng trách nhiệm hình sự của bị can, bị cáo và đặc điểm về nhân thân của bị can, bị cáo; tính chất và mức độ thiệt hại do hành vi phạm tội gây ra; nguyên nhân và điều kiện phạm tội; những tình tiết khác liên quan đến việc loại trừ trách nhiệm hình sự, miễn trách nhiệm hình sự, miễn hình phạt. Thời hạn điều tra VAHS thực hiện theo quy định của Bộ luật Tố tụng hình sự. Trong thời hạn hoặc khi hết thời hạn điều tra, cơ quan điều tra, cơ quan được giao nhiệm vụ tiến hành một số hoạt động điều tra đã làm rõ được những vấn đề phải chứng minh tromg vụ án hình sự như trên thì ra bản kết luận điều tra đề nghị truy tố hoặc không chứng minh được bị can đã thực hiện tội phạm, người bị hại tự nguyện rút yêu cầu khởi tố vụ án đối với những vụ án khởi tố theo yêu cầu của người bị hại, hành vi không cấu thành tội phạm… ra bản kết luận điều tra</w:t>
      </w:r>
      <w:r>
        <w:rPr>
          <w:rFonts w:eastAsia="Calibri" w:cs="Times New Roman"/>
          <w:color w:val="000000"/>
        </w:rPr>
        <w:t xml:space="preserve"> </w:t>
      </w:r>
      <w:r>
        <w:rPr>
          <w:rFonts w:eastAsia="Calibri" w:cs="Times New Roman"/>
          <w:iCs/>
        </w:rPr>
        <w:t>và quyết định đình chỉ điều tra.</w:t>
      </w:r>
    </w:p>
    <w:p w14:paraId="575B8CAF">
      <w:pPr>
        <w:spacing w:before="120" w:after="120" w:line="400" w:lineRule="exact"/>
        <w:ind w:firstLine="709"/>
        <w:jc w:val="both"/>
        <w:rPr>
          <w:rFonts w:eastAsia="Calibri" w:cs="Times New Roman"/>
          <w:color w:val="000000"/>
          <w:spacing w:val="-4"/>
        </w:rPr>
      </w:pPr>
      <w:r>
        <w:rPr>
          <w:rFonts w:eastAsia="Calibri" w:cs="Times New Roman"/>
          <w:iCs/>
          <w:spacing w:val="-4"/>
        </w:rPr>
        <w:t xml:space="preserve">- Truy tố là giai đoạn viện kiểm sát căn cứ quy định của pháp luật tố tụng hình sự để nghiên cứu, đánh giá toàn diện, khách quan hồ sơ vụ án kèm theo kết luận điều tra đề nghị truy tố, vật chứng (nếu có) do cơ quan điều tra, cơ quan được giao nhiệm vụ tiến hành một số hoạt động điều tra bàn giao và trong thời hạn nhất định ra một trong ba quyết định: </w:t>
      </w:r>
      <w:r>
        <w:rPr>
          <w:rFonts w:eastAsia="Calibri" w:cs="Times New Roman"/>
          <w:color w:val="000000"/>
          <w:spacing w:val="-4"/>
        </w:rPr>
        <w:t xml:space="preserve">Truy tố bị can trước toà án; trả hồ sơ để yêu cầu điều tra bổ sung; đình chỉ hoặc tạm đình chỉ vụ án, đình chỉ hoặc tạm đình chỉ vụ án đối với bị can. Thời hạn truy tố VAHS thực hiện theo quy định của Bộ luật Tố tụng hình sự. Viện kiểm sát quyết định truy tố bị can trước toà án bằng bản cáo trạng và phải ghi rõ tội danh, điều, khoản, điểm của Bộ luật Hình sự được áp dụng. Viện kiểm sát quyết định đình chỉ VAHS khi: </w:t>
      </w:r>
      <w:r>
        <w:rPr>
          <w:rFonts w:eastAsia="Calibri" w:cs="Times New Roman"/>
          <w:iCs/>
          <w:spacing w:val="-4"/>
        </w:rPr>
        <w:t>người bị hại tự nguyện rút yêu cầu khởi tố vụ án đối với những vụ án khởi tố theo yêu cầu của người bị hại; hành vi không cấu thành tội phạm; tự ý nửa chừng chấm dứt việc phạm tội; căn cứ miễn trách nhiệm hình sự hoặc người dưới 18 tuổi phạm tội trong một số trường hợp cụ thể.</w:t>
      </w:r>
    </w:p>
    <w:p w14:paraId="6E30EBD0">
      <w:pPr>
        <w:spacing w:before="120" w:after="120" w:line="400" w:lineRule="exact"/>
        <w:ind w:firstLine="709"/>
        <w:jc w:val="both"/>
        <w:rPr>
          <w:rFonts w:eastAsia="Calibri" w:cs="Times New Roman"/>
          <w:color w:val="000000"/>
        </w:rPr>
      </w:pPr>
      <w:r>
        <w:rPr>
          <w:rFonts w:eastAsia="Calibri" w:cs="Times New Roman"/>
        </w:rPr>
        <w:t xml:space="preserve">Xét xử VAHS là hoạt động tố tụng của toà án được tổ chức và tiến hành tại phiên toà theo trình tự, thủ tục được quy định trong Bộ luật Tố tụng hình sự. Hội đồng xét xử trên cơ sở </w:t>
      </w:r>
      <w:r>
        <w:rPr>
          <w:rFonts w:eastAsia="Calibri" w:cs="Times New Roman"/>
          <w:color w:val="000000"/>
        </w:rPr>
        <w:t>xem xét đầy đủ, toàn diện nội dung VAHS, tài liệu và chứng cứ có trong hồ sơ vụ án, quá trình tranh tụng tại phiên toà để đưa ra nhận định: có hay không có căn cứ kết tội bị cáo, trường hợp đủ căn cứ kết tội thì phải xác định rõ điểm, khoản, điều của Bộ luật Hình sự được áp dụng; hình phạt, biện pháp tư pháp áp dụng đối với bị cáo; trách nhiệm bồi thường thiệt hại; vấn đề dân sự trong VAHS; bị cáo có thuộc trường hợp miễn trách nhiệm hình sự, miễn hình phạt hay không; án phí hình sự, án phí dân sự; xử lý vật chứng, tài sản bị kê biên, tài khoản bị phong toả… từ đó quyết định ra bản án và tuyên án hoặc trở lại việc xét hỏi và tranh luận nếu có tình tiết vụ án chưa được xét hỏi, chưa được làm sáng tỏ hoặc trả hồ sơ vụ án để viện kiểm sát điều tra bổ sung, yêu cầu viện kiểm sát bổ sung tài liệu, chứng cứ hoặc tạm đình chỉ vụ án. Trường hợp quyết định ra bản VAHS, tuyên án và bản án không bị kháng cáo, kháng nghị trong thời hạn luật tố tụng hình sự quy định, khi đó VAHS kết thúc.</w:t>
      </w:r>
    </w:p>
    <w:p w14:paraId="65D38D63">
      <w:pPr>
        <w:spacing w:before="120" w:after="120" w:line="400" w:lineRule="exact"/>
        <w:ind w:firstLine="709"/>
        <w:jc w:val="both"/>
        <w:rPr>
          <w:rFonts w:eastAsia="Calibri" w:cs="Times New Roman"/>
          <w:bCs/>
          <w:spacing w:val="-2"/>
          <w:szCs w:val="28"/>
        </w:rPr>
      </w:pPr>
      <w:r>
        <w:rPr>
          <w:rFonts w:eastAsia="Calibri" w:cs="Times New Roman"/>
          <w:color w:val="000000"/>
          <w:spacing w:val="-2"/>
        </w:rPr>
        <w:t>VAHS có thể căn cứ vào thông tin phản ánh về vụ, việc có dấu hiệu tội phạm, thông tin về người thực hiện hành vi có dấu hiệu tội phạm để phân thành án rõ (</w:t>
      </w:r>
      <w:r>
        <w:rPr>
          <w:rFonts w:eastAsia="Calibri" w:cs="Times New Roman"/>
          <w:i/>
          <w:color w:val="000000"/>
          <w:spacing w:val="-2"/>
        </w:rPr>
        <w:t>Xt. Án rõ</w:t>
      </w:r>
      <w:r>
        <w:rPr>
          <w:rFonts w:eastAsia="Calibri" w:cs="Times New Roman"/>
          <w:color w:val="000000"/>
          <w:spacing w:val="-2"/>
        </w:rPr>
        <w:t>) và án mờ (</w:t>
      </w:r>
      <w:r>
        <w:rPr>
          <w:rFonts w:eastAsia="Calibri" w:cs="Times New Roman"/>
          <w:i/>
          <w:color w:val="000000"/>
          <w:spacing w:val="-2"/>
        </w:rPr>
        <w:t>Xt. Án mờ</w:t>
      </w:r>
      <w:r>
        <w:rPr>
          <w:rFonts w:eastAsia="Calibri" w:cs="Times New Roman"/>
          <w:color w:val="000000"/>
          <w:spacing w:val="-2"/>
        </w:rPr>
        <w:t xml:space="preserve">). Căn cứ vào tên gọi tội danh theo quy định của Bộ luật Hình sự được viện dẫn trong quyết định khởi tố VAHS, VAHS được phân thành nhiều loại theo đúng tên tội danh bị khởi tố, như: vụ án giết người, vụ án cố ý gây thương tích, vụ án mua bán trái phép chất ma tuý, vụ án tổ chức cho người khác nhập cảnh trái phép, vụ án tham ô… Căn cứ vào khung hình phạt mà bị can bị khởi tố hoặc mức hình phạt cụ thể mà toà án tuyên phạt đối với người bị kết án, VAHS được chia thành: án ít nghiêm trọng, án nghiêm trọng, án rất nghiêm trọng và án đặc biệt nghiêm trọng. Án ít nghiêm trọng là vụ án mà bị can bị khởi tố hoặc </w:t>
      </w:r>
      <w:r>
        <w:rPr>
          <w:rFonts w:eastAsia="Calibri" w:cs="Times New Roman"/>
          <w:color w:val="000000"/>
          <w:spacing w:val="-2"/>
          <w:szCs w:val="28"/>
          <w:lang w:val="vi-VN"/>
        </w:rPr>
        <w:t>hình phạt</w:t>
      </w:r>
      <w:r>
        <w:rPr>
          <w:rFonts w:eastAsia="Calibri" w:cs="Times New Roman"/>
          <w:color w:val="000000"/>
          <w:spacing w:val="-2"/>
          <w:szCs w:val="28"/>
        </w:rPr>
        <w:t xml:space="preserve"> mà toà án tuyên đối với người bị kết án</w:t>
      </w:r>
      <w:r>
        <w:rPr>
          <w:rFonts w:eastAsia="Calibri" w:cs="Times New Roman"/>
          <w:color w:val="000000"/>
          <w:spacing w:val="-2"/>
          <w:szCs w:val="28"/>
          <w:lang w:val="vi-VN"/>
        </w:rPr>
        <w:t xml:space="preserve"> là phạt tiền, phạt cải tạo không giam giữ hoặc phạt tù </w:t>
      </w:r>
      <w:r>
        <w:rPr>
          <w:rFonts w:eastAsia="Calibri" w:cs="Times New Roman"/>
          <w:color w:val="000000"/>
          <w:spacing w:val="-2"/>
          <w:szCs w:val="28"/>
        </w:rPr>
        <w:t>dưới</w:t>
      </w:r>
      <w:r>
        <w:rPr>
          <w:rFonts w:eastAsia="Calibri" w:cs="Times New Roman"/>
          <w:color w:val="000000"/>
          <w:spacing w:val="-2"/>
          <w:szCs w:val="28"/>
          <w:lang w:val="vi-VN"/>
        </w:rPr>
        <w:t xml:space="preserve"> 03 năm</w:t>
      </w:r>
      <w:r>
        <w:rPr>
          <w:rFonts w:eastAsia="Calibri" w:cs="Times New Roman"/>
          <w:color w:val="000000"/>
          <w:spacing w:val="-2"/>
          <w:szCs w:val="28"/>
        </w:rPr>
        <w:t xml:space="preserve">. Án nghiêm trọng là vụ án mà bị can bị khởi tố hoặc </w:t>
      </w:r>
      <w:r>
        <w:rPr>
          <w:rFonts w:eastAsia="Calibri" w:cs="Times New Roman"/>
          <w:color w:val="000000"/>
          <w:spacing w:val="-2"/>
          <w:szCs w:val="28"/>
          <w:lang w:val="vi-VN"/>
        </w:rPr>
        <w:t>hình phạt</w:t>
      </w:r>
      <w:r>
        <w:rPr>
          <w:rFonts w:eastAsia="Calibri" w:cs="Times New Roman"/>
          <w:color w:val="000000"/>
          <w:spacing w:val="-2"/>
          <w:szCs w:val="28"/>
        </w:rPr>
        <w:t xml:space="preserve"> mà toà án tuyên đối với người bị kết án</w:t>
      </w:r>
      <w:r>
        <w:rPr>
          <w:rFonts w:eastAsia="Calibri" w:cs="Times New Roman"/>
          <w:bCs/>
          <w:color w:val="000000"/>
          <w:spacing w:val="-2"/>
          <w:szCs w:val="28"/>
        </w:rPr>
        <w:t xml:space="preserve"> từ trên </w:t>
      </w:r>
      <w:r>
        <w:rPr>
          <w:rFonts w:eastAsia="Calibri" w:cs="Times New Roman"/>
          <w:bCs/>
          <w:color w:val="000000"/>
          <w:spacing w:val="-2"/>
          <w:szCs w:val="28"/>
          <w:lang w:val="vi-VN"/>
        </w:rPr>
        <w:t>03 năm đến 07 năm tù</w:t>
      </w:r>
      <w:r>
        <w:rPr>
          <w:rFonts w:eastAsia="Calibri" w:cs="Times New Roman"/>
          <w:bCs/>
          <w:color w:val="000000"/>
          <w:spacing w:val="-2"/>
          <w:szCs w:val="28"/>
        </w:rPr>
        <w:t xml:space="preserve">. Án rất nghiêm trọng là vụ án mà bị can bị khởi tố hoặc </w:t>
      </w:r>
      <w:r>
        <w:rPr>
          <w:rFonts w:eastAsia="Calibri" w:cs="Times New Roman"/>
          <w:color w:val="000000"/>
          <w:spacing w:val="-2"/>
          <w:szCs w:val="28"/>
          <w:lang w:val="vi-VN"/>
        </w:rPr>
        <w:t>hình phạt</w:t>
      </w:r>
      <w:r>
        <w:rPr>
          <w:rFonts w:eastAsia="Calibri" w:cs="Times New Roman"/>
          <w:color w:val="000000"/>
          <w:spacing w:val="-2"/>
          <w:szCs w:val="28"/>
        </w:rPr>
        <w:t xml:space="preserve"> mà toà án tuyên đối với người bị kết án</w:t>
      </w:r>
      <w:r>
        <w:rPr>
          <w:rFonts w:eastAsia="Calibri" w:cs="Times New Roman"/>
          <w:bCs/>
          <w:color w:val="000000"/>
          <w:spacing w:val="-2"/>
          <w:szCs w:val="28"/>
          <w:lang w:val="vi-VN"/>
        </w:rPr>
        <w:t xml:space="preserve"> từ trên 07 năm đến 15 năm tù</w:t>
      </w:r>
      <w:r>
        <w:rPr>
          <w:rFonts w:eastAsia="Calibri" w:cs="Times New Roman"/>
          <w:bCs/>
          <w:color w:val="000000"/>
          <w:spacing w:val="-2"/>
          <w:szCs w:val="28"/>
        </w:rPr>
        <w:t xml:space="preserve">. Án đặc biệt nghiêm trọng là </w:t>
      </w:r>
      <w:r>
        <w:rPr>
          <w:rFonts w:eastAsia="Calibri" w:cs="Times New Roman"/>
          <w:color w:val="000000"/>
          <w:spacing w:val="-2"/>
          <w:szCs w:val="28"/>
        </w:rPr>
        <w:t xml:space="preserve">vụ án mà bị can bị khởi tố hoặc </w:t>
      </w:r>
      <w:r>
        <w:rPr>
          <w:rFonts w:eastAsia="Calibri" w:cs="Times New Roman"/>
          <w:color w:val="000000"/>
          <w:spacing w:val="-2"/>
          <w:szCs w:val="28"/>
          <w:lang w:val="vi-VN"/>
        </w:rPr>
        <w:t>hình phạt</w:t>
      </w:r>
      <w:r>
        <w:rPr>
          <w:rFonts w:eastAsia="Calibri" w:cs="Times New Roman"/>
          <w:color w:val="000000"/>
          <w:spacing w:val="-2"/>
          <w:szCs w:val="28"/>
        </w:rPr>
        <w:t xml:space="preserve"> mà toà án tuyên đối với người bị kết án</w:t>
      </w:r>
      <w:r>
        <w:rPr>
          <w:rFonts w:eastAsia="Calibri" w:cs="Times New Roman"/>
          <w:bCs/>
          <w:color w:val="000000"/>
          <w:spacing w:val="-2"/>
          <w:szCs w:val="28"/>
        </w:rPr>
        <w:t xml:space="preserve"> từ trên 15 năm tù, tù chung thân hoặc tử hình. </w:t>
      </w:r>
      <w:r>
        <w:rPr>
          <w:rFonts w:eastAsia="Calibri" w:cs="Times New Roman"/>
          <w:bCs/>
          <w:spacing w:val="-2"/>
          <w:szCs w:val="28"/>
        </w:rPr>
        <w:t>Ngoài ra, đối với một số VAHS được sự quan tâm của dư luận xã hội còn có thể phân loại vụ án theo tên bị can, bị cáo là chủ mưu, cầm đầu trong vụ án, như vụ án Năm Cam và đồng phạm, vụ án Lã Thị Kim Oanh… hoặc tên địa điểm nơi xảy ra, phát hiện vụ án hình sự, như vụ án Mường Tè, vụ án phố Ôn Như Hầu…</w:t>
      </w:r>
    </w:p>
    <w:p w14:paraId="7FE3EE7F">
      <w:pPr>
        <w:spacing w:before="120" w:after="120" w:line="400" w:lineRule="exact"/>
        <w:ind w:firstLine="709"/>
        <w:jc w:val="right"/>
        <w:rPr>
          <w:rFonts w:eastAsia="Calibri" w:cs="Times New Roman"/>
          <w:b/>
          <w:color w:val="000000"/>
          <w:sz w:val="24"/>
          <w:szCs w:val="24"/>
        </w:rPr>
      </w:pPr>
      <w:r>
        <w:rPr>
          <w:rFonts w:eastAsia="Calibri" w:cs="Times New Roman"/>
          <w:b/>
          <w:bCs/>
          <w:sz w:val="24"/>
          <w:szCs w:val="24"/>
        </w:rPr>
        <w:t>NGUYỄN HỒNG SƠN</w:t>
      </w:r>
    </w:p>
    <w:p w14:paraId="66416EAD">
      <w:pPr>
        <w:pStyle w:val="3"/>
      </w:pPr>
      <w:bookmarkStart w:id="1" w:name="_Toc92793195"/>
      <w:r>
        <w:t>Tài liệu tham khảo</w:t>
      </w:r>
      <w:bookmarkEnd w:id="1"/>
    </w:p>
    <w:p w14:paraId="773FDC74">
      <w:pPr>
        <w:numPr>
          <w:ilvl w:val="0"/>
          <w:numId w:val="1"/>
        </w:numPr>
        <w:tabs>
          <w:tab w:val="left" w:pos="1134"/>
        </w:tabs>
        <w:spacing w:before="120" w:after="120" w:line="400" w:lineRule="exact"/>
        <w:ind w:left="0" w:firstLine="709"/>
        <w:jc w:val="both"/>
        <w:rPr>
          <w:rFonts w:eastAsia="Times New Roman" w:cs="Times New Roman"/>
          <w:iCs/>
          <w:color w:val="000000"/>
          <w:sz w:val="24"/>
          <w:szCs w:val="24"/>
        </w:rPr>
      </w:pPr>
      <w:r>
        <w:rPr>
          <w:rFonts w:eastAsia="Times New Roman" w:cs="Times New Roman"/>
          <w:iCs/>
          <w:color w:val="000000"/>
          <w:sz w:val="24"/>
          <w:szCs w:val="24"/>
        </w:rPr>
        <w:t xml:space="preserve">Bộ Tư pháp, </w:t>
      </w:r>
      <w:r>
        <w:rPr>
          <w:rFonts w:eastAsia="Times New Roman" w:cs="Times New Roman"/>
          <w:i/>
          <w:iCs/>
          <w:color w:val="000000"/>
          <w:sz w:val="24"/>
          <w:szCs w:val="24"/>
        </w:rPr>
        <w:t>Từ điển Luật học</w:t>
      </w:r>
      <w:r>
        <w:rPr>
          <w:rFonts w:eastAsia="Times New Roman" w:cs="Times New Roman"/>
          <w:iCs/>
          <w:color w:val="000000"/>
          <w:sz w:val="24"/>
          <w:szCs w:val="24"/>
        </w:rPr>
        <w:t>, Nxb. Từ điển bách khoa, Hà Nội, 1999.</w:t>
      </w:r>
    </w:p>
    <w:p w14:paraId="67F946C6">
      <w:pPr>
        <w:numPr>
          <w:ilvl w:val="0"/>
          <w:numId w:val="1"/>
        </w:numPr>
        <w:tabs>
          <w:tab w:val="left" w:pos="1134"/>
        </w:tabs>
        <w:spacing w:before="120" w:after="120" w:line="400" w:lineRule="exact"/>
        <w:ind w:left="0" w:firstLine="709"/>
        <w:jc w:val="both"/>
        <w:rPr>
          <w:rFonts w:eastAsia="Times New Roman" w:cs="Times New Roman"/>
          <w:iCs/>
          <w:color w:val="000000"/>
          <w:sz w:val="24"/>
          <w:szCs w:val="24"/>
        </w:rPr>
      </w:pPr>
      <w:r>
        <w:rPr>
          <w:rFonts w:eastAsia="Times New Roman" w:cs="Times New Roman"/>
          <w:iCs/>
          <w:color w:val="000000"/>
          <w:sz w:val="24"/>
          <w:szCs w:val="24"/>
        </w:rPr>
        <w:t xml:space="preserve">Hoàng Phê (chủ biên), </w:t>
      </w:r>
      <w:r>
        <w:rPr>
          <w:rFonts w:eastAsia="Times New Roman" w:cs="Times New Roman"/>
          <w:i/>
          <w:iCs/>
          <w:color w:val="000000"/>
          <w:sz w:val="24"/>
          <w:szCs w:val="24"/>
        </w:rPr>
        <w:t>Từ điển tiếng Việt</w:t>
      </w:r>
      <w:r>
        <w:rPr>
          <w:rFonts w:eastAsia="Times New Roman" w:cs="Times New Roman"/>
          <w:iCs/>
          <w:color w:val="000000"/>
          <w:sz w:val="24"/>
          <w:szCs w:val="24"/>
        </w:rPr>
        <w:t>, Nxb. Đà Nẵng, Hà Nội, 2007.</w:t>
      </w:r>
    </w:p>
    <w:p w14:paraId="611D04DA">
      <w:pPr>
        <w:numPr>
          <w:ilvl w:val="0"/>
          <w:numId w:val="1"/>
        </w:numPr>
        <w:tabs>
          <w:tab w:val="left" w:pos="1134"/>
        </w:tabs>
        <w:spacing w:before="120" w:after="120" w:line="400" w:lineRule="exact"/>
        <w:ind w:left="0" w:firstLine="709"/>
        <w:jc w:val="both"/>
        <w:rPr>
          <w:rFonts w:eastAsia="Times New Roman" w:cs="Times New Roman"/>
          <w:iCs/>
          <w:color w:val="000000"/>
          <w:sz w:val="24"/>
          <w:szCs w:val="24"/>
        </w:rPr>
      </w:pPr>
      <w:r>
        <w:rPr>
          <w:rFonts w:eastAsia="Times New Roman" w:cs="Times New Roman"/>
          <w:iCs/>
          <w:color w:val="000000"/>
          <w:sz w:val="24"/>
          <w:szCs w:val="24"/>
        </w:rPr>
        <w:t xml:space="preserve">Quốc hội, </w:t>
      </w:r>
      <w:r>
        <w:rPr>
          <w:rFonts w:eastAsia="Times New Roman" w:cs="Times New Roman"/>
          <w:i/>
          <w:iCs/>
          <w:color w:val="000000"/>
          <w:sz w:val="24"/>
          <w:szCs w:val="24"/>
        </w:rPr>
        <w:t>Bộ luật Hình sự năm 2015.</w:t>
      </w:r>
    </w:p>
    <w:p w14:paraId="315000C1">
      <w:pPr>
        <w:numPr>
          <w:ilvl w:val="0"/>
          <w:numId w:val="1"/>
        </w:numPr>
        <w:tabs>
          <w:tab w:val="left" w:pos="1134"/>
        </w:tabs>
        <w:spacing w:before="120" w:after="120" w:line="400" w:lineRule="exact"/>
        <w:ind w:left="0" w:firstLine="709"/>
        <w:jc w:val="both"/>
        <w:rPr>
          <w:rFonts w:eastAsia="Times New Roman" w:cs="Times New Roman"/>
          <w:iCs/>
          <w:color w:val="000000"/>
          <w:sz w:val="24"/>
          <w:szCs w:val="24"/>
        </w:rPr>
      </w:pPr>
      <w:r>
        <w:rPr>
          <w:rFonts w:eastAsia="Times New Roman" w:cs="Times New Roman"/>
          <w:iCs/>
          <w:color w:val="000000"/>
          <w:sz w:val="24"/>
          <w:szCs w:val="24"/>
        </w:rPr>
        <w:t xml:space="preserve">Quốc hội, </w:t>
      </w:r>
      <w:r>
        <w:rPr>
          <w:rFonts w:eastAsia="Times New Roman" w:cs="Times New Roman"/>
          <w:i/>
          <w:iCs/>
          <w:color w:val="000000"/>
          <w:sz w:val="24"/>
          <w:szCs w:val="24"/>
        </w:rPr>
        <w:t>Bộ luật Tố tụng hình sự năm 2015.</w:t>
      </w:r>
    </w:p>
    <w:p w14:paraId="6539B29E">
      <w:pPr>
        <w:numPr>
          <w:ilvl w:val="0"/>
          <w:numId w:val="1"/>
        </w:numPr>
        <w:tabs>
          <w:tab w:val="left" w:pos="1134"/>
        </w:tabs>
        <w:spacing w:before="120" w:after="120" w:line="400" w:lineRule="exact"/>
        <w:ind w:left="0" w:firstLine="709"/>
        <w:jc w:val="both"/>
        <w:rPr>
          <w:rFonts w:eastAsia="Times New Roman" w:cs="Times New Roman"/>
          <w:iCs/>
          <w:color w:val="000000"/>
          <w:sz w:val="24"/>
          <w:szCs w:val="24"/>
        </w:rPr>
      </w:pPr>
      <w:r>
        <w:rPr>
          <w:rFonts w:eastAsia="Times New Roman" w:cs="Times New Roman"/>
          <w:iCs/>
          <w:color w:val="000000"/>
          <w:sz w:val="24"/>
          <w:szCs w:val="24"/>
        </w:rPr>
        <w:t xml:space="preserve">Quốc hội, </w:t>
      </w:r>
      <w:r>
        <w:rPr>
          <w:rFonts w:eastAsia="Times New Roman" w:cs="Times New Roman"/>
          <w:i/>
          <w:iCs/>
          <w:color w:val="000000"/>
          <w:sz w:val="24"/>
          <w:szCs w:val="24"/>
        </w:rPr>
        <w:t>Luật Tổ chức Cơ quan điều tra hình sự năm 2015.</w:t>
      </w:r>
      <w:r>
        <w:rPr>
          <w:rFonts w:eastAsia="Times New Roman" w:cs="Times New Roman"/>
          <w:iCs/>
          <w:color w:val="000000"/>
          <w:sz w:val="24"/>
          <w:szCs w:val="24"/>
        </w:rPr>
        <w:t xml:space="preserve">  </w:t>
      </w:r>
      <w:r>
        <w:rPr>
          <w:rFonts w:eastAsia="Times New Roman" w:cs="Times New Roman"/>
          <w:b/>
          <w:bCs/>
          <w:iCs/>
          <w:color w:val="000000"/>
          <w:sz w:val="24"/>
          <w:szCs w:val="24"/>
        </w:rPr>
        <w:t xml:space="preserve">  </w:t>
      </w:r>
    </w:p>
    <w:p w14:paraId="718654AD">
      <w:pPr>
        <w:numPr>
          <w:ilvl w:val="0"/>
          <w:numId w:val="1"/>
        </w:numPr>
        <w:tabs>
          <w:tab w:val="left" w:pos="1134"/>
        </w:tabs>
        <w:spacing w:before="120" w:after="120" w:line="400" w:lineRule="exact"/>
        <w:ind w:left="0" w:firstLine="709"/>
        <w:jc w:val="both"/>
        <w:rPr>
          <w:rFonts w:eastAsia="Times New Roman" w:cs="Times New Roman"/>
          <w:iCs/>
          <w:color w:val="000000"/>
          <w:sz w:val="24"/>
          <w:szCs w:val="24"/>
        </w:rPr>
      </w:pPr>
      <w:r>
        <w:rPr>
          <w:rFonts w:eastAsia="Times New Roman" w:cs="Times New Roman"/>
          <w:iCs/>
          <w:color w:val="000000"/>
          <w:sz w:val="24"/>
          <w:szCs w:val="24"/>
          <w:lang w:val="it-IT"/>
        </w:rPr>
        <w:t xml:space="preserve">Uỷ ban thường vụ Quốc hội, </w:t>
      </w:r>
      <w:r>
        <w:rPr>
          <w:rFonts w:eastAsia="Times New Roman" w:cs="Times New Roman"/>
          <w:i/>
          <w:iCs/>
          <w:color w:val="000000"/>
          <w:sz w:val="24"/>
          <w:szCs w:val="24"/>
        </w:rPr>
        <w:t>Pháp lệnh</w:t>
      </w:r>
      <w:r>
        <w:rPr>
          <w:rFonts w:eastAsia="Times New Roman" w:cs="Times New Roman"/>
          <w:iCs/>
          <w:color w:val="000000"/>
          <w:sz w:val="24"/>
          <w:szCs w:val="24"/>
        </w:rPr>
        <w:t xml:space="preserve"> </w:t>
      </w:r>
      <w:r>
        <w:rPr>
          <w:rFonts w:eastAsia="Times New Roman" w:cs="Times New Roman"/>
          <w:i/>
          <w:iCs/>
          <w:color w:val="000000"/>
          <w:sz w:val="24"/>
          <w:szCs w:val="24"/>
        </w:rPr>
        <w:t>Tổ chức điều tra hình sự năm 2004.</w:t>
      </w:r>
    </w:p>
    <w:p w14:paraId="1D5CC0D0">
      <w:bookmarkStart w:id="2" w:name="_GoBack"/>
      <w:bookmarkEnd w:id="2"/>
    </w:p>
    <w:sectPr>
      <w:pgSz w:w="11909" w:h="16834"/>
      <w:pgMar w:top="1134" w:right="1134" w:bottom="1134" w:left="1701"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w:panose1 w:val="020F0502020204030204"/>
    <w:charset w:val="86"/>
    <w:family w:val="swiss"/>
    <w:pitch w:val="default"/>
    <w:sig w:usb0="E4002EFF" w:usb1="C000247B" w:usb2="00000009" w:usb3="00000000" w:csb0="200001FF" w:csb1="00000000"/>
  </w:font>
  <w:font w:name="Times New Roman Bold">
    <w:altName w:val="Times New Roman"/>
    <w:panose1 w:val="00000000000000000000"/>
    <w:charset w:val="00"/>
    <w:family w:val="roman"/>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CA564C"/>
    <w:multiLevelType w:val="multilevel"/>
    <w:tmpl w:val="59CA564C"/>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drawingGridHorizontalSpacing w:val="100"/>
  <w:drawingGridVerticalSpacing w:val="381"/>
  <w:displayHorizontalDrawingGridEvery w:val="2"/>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671"/>
    <w:rsid w:val="00042ED5"/>
    <w:rsid w:val="00042F5E"/>
    <w:rsid w:val="000551A7"/>
    <w:rsid w:val="00115BDB"/>
    <w:rsid w:val="00137509"/>
    <w:rsid w:val="001C160D"/>
    <w:rsid w:val="001D1C53"/>
    <w:rsid w:val="00207A45"/>
    <w:rsid w:val="002166F8"/>
    <w:rsid w:val="00254911"/>
    <w:rsid w:val="002721BB"/>
    <w:rsid w:val="0029347D"/>
    <w:rsid w:val="002A5436"/>
    <w:rsid w:val="002B1994"/>
    <w:rsid w:val="002C35EB"/>
    <w:rsid w:val="002D47B5"/>
    <w:rsid w:val="00334805"/>
    <w:rsid w:val="0034637F"/>
    <w:rsid w:val="003501C5"/>
    <w:rsid w:val="00382B34"/>
    <w:rsid w:val="00391A96"/>
    <w:rsid w:val="003A39B8"/>
    <w:rsid w:val="003E063E"/>
    <w:rsid w:val="003F151E"/>
    <w:rsid w:val="00423E9D"/>
    <w:rsid w:val="00426F0B"/>
    <w:rsid w:val="00430C7D"/>
    <w:rsid w:val="0043145D"/>
    <w:rsid w:val="00467F1F"/>
    <w:rsid w:val="00473016"/>
    <w:rsid w:val="004762A5"/>
    <w:rsid w:val="004924BC"/>
    <w:rsid w:val="004B62E9"/>
    <w:rsid w:val="004B7822"/>
    <w:rsid w:val="004C4217"/>
    <w:rsid w:val="004E7AE8"/>
    <w:rsid w:val="004F0401"/>
    <w:rsid w:val="004F3443"/>
    <w:rsid w:val="005044EC"/>
    <w:rsid w:val="00523ADB"/>
    <w:rsid w:val="0053703D"/>
    <w:rsid w:val="005446D6"/>
    <w:rsid w:val="00563EA1"/>
    <w:rsid w:val="0057173E"/>
    <w:rsid w:val="005745C4"/>
    <w:rsid w:val="005B1CE5"/>
    <w:rsid w:val="005E6580"/>
    <w:rsid w:val="00621ADF"/>
    <w:rsid w:val="00636F62"/>
    <w:rsid w:val="00654A89"/>
    <w:rsid w:val="00654BFD"/>
    <w:rsid w:val="00685930"/>
    <w:rsid w:val="00687187"/>
    <w:rsid w:val="006A4839"/>
    <w:rsid w:val="006E4187"/>
    <w:rsid w:val="006F539F"/>
    <w:rsid w:val="006F7478"/>
    <w:rsid w:val="006F79A9"/>
    <w:rsid w:val="0070170A"/>
    <w:rsid w:val="00703147"/>
    <w:rsid w:val="007121D4"/>
    <w:rsid w:val="00716578"/>
    <w:rsid w:val="007247B2"/>
    <w:rsid w:val="0073226F"/>
    <w:rsid w:val="0074561D"/>
    <w:rsid w:val="007715D7"/>
    <w:rsid w:val="007818CD"/>
    <w:rsid w:val="00796E66"/>
    <w:rsid w:val="007979B2"/>
    <w:rsid w:val="00797A21"/>
    <w:rsid w:val="007C1023"/>
    <w:rsid w:val="007C2DC5"/>
    <w:rsid w:val="007D1A89"/>
    <w:rsid w:val="007D50D2"/>
    <w:rsid w:val="007E581D"/>
    <w:rsid w:val="007F4B57"/>
    <w:rsid w:val="00805569"/>
    <w:rsid w:val="00807B7E"/>
    <w:rsid w:val="0082170E"/>
    <w:rsid w:val="008A4C72"/>
    <w:rsid w:val="008E7932"/>
    <w:rsid w:val="008F583C"/>
    <w:rsid w:val="00922744"/>
    <w:rsid w:val="00937B64"/>
    <w:rsid w:val="009456B0"/>
    <w:rsid w:val="00952B83"/>
    <w:rsid w:val="009572AA"/>
    <w:rsid w:val="00963A53"/>
    <w:rsid w:val="009830B5"/>
    <w:rsid w:val="009A649C"/>
    <w:rsid w:val="009E035D"/>
    <w:rsid w:val="00A33688"/>
    <w:rsid w:val="00A50D73"/>
    <w:rsid w:val="00A52C33"/>
    <w:rsid w:val="00A56C2E"/>
    <w:rsid w:val="00A722FF"/>
    <w:rsid w:val="00A85B78"/>
    <w:rsid w:val="00AA2E16"/>
    <w:rsid w:val="00AC5191"/>
    <w:rsid w:val="00AE3BB9"/>
    <w:rsid w:val="00AE59E5"/>
    <w:rsid w:val="00AF7A16"/>
    <w:rsid w:val="00B030F1"/>
    <w:rsid w:val="00B03D84"/>
    <w:rsid w:val="00B21F93"/>
    <w:rsid w:val="00B25B4D"/>
    <w:rsid w:val="00B372F4"/>
    <w:rsid w:val="00B413F3"/>
    <w:rsid w:val="00B612D0"/>
    <w:rsid w:val="00B63016"/>
    <w:rsid w:val="00B7064F"/>
    <w:rsid w:val="00B91E7C"/>
    <w:rsid w:val="00B965E4"/>
    <w:rsid w:val="00C21694"/>
    <w:rsid w:val="00C21AB5"/>
    <w:rsid w:val="00C2467E"/>
    <w:rsid w:val="00C261AE"/>
    <w:rsid w:val="00C416EA"/>
    <w:rsid w:val="00C53CF2"/>
    <w:rsid w:val="00C7340C"/>
    <w:rsid w:val="00C73BEA"/>
    <w:rsid w:val="00CE57D4"/>
    <w:rsid w:val="00CF65F1"/>
    <w:rsid w:val="00D16868"/>
    <w:rsid w:val="00D2303F"/>
    <w:rsid w:val="00D45A55"/>
    <w:rsid w:val="00D503E0"/>
    <w:rsid w:val="00D658D8"/>
    <w:rsid w:val="00D72111"/>
    <w:rsid w:val="00D83DC4"/>
    <w:rsid w:val="00D955C4"/>
    <w:rsid w:val="00DA52C9"/>
    <w:rsid w:val="00DB3CF1"/>
    <w:rsid w:val="00DB56B5"/>
    <w:rsid w:val="00DE054D"/>
    <w:rsid w:val="00DE4FEA"/>
    <w:rsid w:val="00E02671"/>
    <w:rsid w:val="00E03462"/>
    <w:rsid w:val="00E078B8"/>
    <w:rsid w:val="00E234B9"/>
    <w:rsid w:val="00E5357F"/>
    <w:rsid w:val="00E665E3"/>
    <w:rsid w:val="00E67A19"/>
    <w:rsid w:val="00E8160A"/>
    <w:rsid w:val="00E83220"/>
    <w:rsid w:val="00E85B6A"/>
    <w:rsid w:val="00ED5C4D"/>
    <w:rsid w:val="00EE4380"/>
    <w:rsid w:val="00F004C4"/>
    <w:rsid w:val="00F13A38"/>
    <w:rsid w:val="00F7503D"/>
    <w:rsid w:val="00FB272C"/>
    <w:rsid w:val="00FB4403"/>
    <w:rsid w:val="00FB6166"/>
    <w:rsid w:val="00FC6956"/>
    <w:rsid w:val="00FF2DF1"/>
    <w:rsid w:val="02B8562E"/>
    <w:rsid w:val="0F96572F"/>
    <w:rsid w:val="16F60ABB"/>
    <w:rsid w:val="46BF5B9A"/>
    <w:rsid w:val="487D70FA"/>
    <w:rsid w:val="55033145"/>
    <w:rsid w:val="576003C8"/>
    <w:rsid w:val="60533013"/>
    <w:rsid w:val="6087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paragraph" w:styleId="2">
    <w:name w:val="heading 1"/>
    <w:basedOn w:val="1"/>
    <w:next w:val="1"/>
    <w:qFormat/>
    <w:uiPriority w:val="9"/>
    <w:pPr>
      <w:keepNext/>
      <w:keepLines/>
      <w:tabs>
        <w:tab w:val="left" w:pos="1260"/>
        <w:tab w:val="left" w:pos="4320"/>
      </w:tabs>
      <w:spacing w:before="600" w:after="120" w:line="400" w:lineRule="exact"/>
      <w:ind w:firstLine="709"/>
      <w:outlineLvl w:val="0"/>
    </w:pPr>
    <w:rPr>
      <w:rFonts w:eastAsia="Times New Roman" w:cstheme="majorBidi"/>
      <w:b/>
      <w:bCs/>
      <w:sz w:val="24"/>
      <w:szCs w:val="28"/>
    </w:rPr>
  </w:style>
  <w:style w:type="paragraph" w:styleId="3">
    <w:name w:val="heading 2"/>
    <w:basedOn w:val="1"/>
    <w:next w:val="1"/>
    <w:unhideWhenUsed/>
    <w:qFormat/>
    <w:uiPriority w:val="9"/>
    <w:pPr>
      <w:keepNext/>
      <w:keepLines/>
      <w:spacing w:before="120" w:after="120" w:line="400" w:lineRule="exact"/>
      <w:ind w:firstLine="720"/>
      <w:jc w:val="both"/>
      <w:outlineLvl w:val="1"/>
    </w:pPr>
    <w:rPr>
      <w:rFonts w:ascii="Times New Roman Bold" w:hAnsi="Times New Roman Bold" w:eastAsia="Calibri" w:cstheme="majorBidi"/>
      <w:bCs/>
      <w:sz w:val="24"/>
      <w:szCs w:val="24"/>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table" w:styleId="6">
    <w:name w:val="Table Grid"/>
    <w:basedOn w:val="5"/>
    <w:qFormat/>
    <w:uiPriority w:val="59"/>
    <w:pPr>
      <w:spacing w:after="0" w:line="240" w:lineRule="auto"/>
    </w:pPr>
    <w:rPr>
      <w:rFonts w:asciiTheme="minorHAnsi" w:hAnsi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left="720"/>
      <w:contextualSpacing/>
    </w:pPr>
  </w:style>
  <w:style w:type="paragraph" w:customStyle="1" w:styleId="8">
    <w:name w:val="Default"/>
    <w:qFormat/>
    <w:uiPriority w:val="0"/>
    <w:pPr>
      <w:autoSpaceDE w:val="0"/>
      <w:autoSpaceDN w:val="0"/>
      <w:adjustRightInd w:val="0"/>
      <w:spacing w:after="0" w:line="240" w:lineRule="auto"/>
    </w:pPr>
    <w:rPr>
      <w:rFonts w:ascii="Times New Roman" w:hAnsi="Times New Roman" w:eastAsia="Times New Roman" w:cs="Times New Roman"/>
      <w:color w:val="000000"/>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Phienbanmoi.com</Company>
  <Pages>3</Pages>
  <Words>1281</Words>
  <Characters>4592</Characters>
  <Lines>11</Lines>
  <Paragraphs>3</Paragraphs>
  <TotalTime>0</TotalTime>
  <ScaleCrop>false</ScaleCrop>
  <LinksUpToDate>false</LinksUpToDate>
  <CharactersWithSpaces>5859</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2022-04-28T08:36:00Z</dcterms:created>
  <dc:creator>Windows User</dc:creator>
  <cp:lastModifiedBy>AD</cp:lastModifiedBy>
  <cp:lastPrinted>2026-05-26T08:00:00Z</cp:lastPrinted>
  <dcterms:modified xsi:type="dcterms:W3CDTF">2026-07-03T02:58:44Z</dcterms:modified>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eyJoZGlkIjoiOTc4NjQ0N2ZlN2IwMTBkZjUzMGQ0MGExNTY5YjBmMzAifQ==</vt:lpwstr>
  </property>
  <property fmtid="{D5CDD505-2E9C-101B-9397-08002B2CF9AE}" pid="3" name="KSOProductBuildVer">
    <vt:lpwstr>1033-12.1.0.26880</vt:lpwstr>
  </property>
  <property fmtid="{D5CDD505-2E9C-101B-9397-08002B2CF9AE}" pid="4" name="ICV">
    <vt:lpwstr>A1FBE5C48EF94B51A357ED09779C98BD_12</vt:lpwstr>
  </property>
</Properties>
</file>